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Hirvensalmen kunta</w:t>
      </w: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Varhaiskasvatus</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b/>
          <w:bCs/>
          <w:i/>
          <w:iCs/>
          <w:color w:val="auto"/>
          <w:sz w:val="23"/>
          <w:szCs w:val="23"/>
        </w:rPr>
      </w:pPr>
      <w:r>
        <w:rPr>
          <w:rFonts w:ascii="Calibri" w:hAnsi="Calibri" w:cs="Calibri"/>
          <w:b/>
          <w:bCs/>
          <w:i/>
          <w:iCs/>
          <w:color w:val="auto"/>
          <w:sz w:val="23"/>
          <w:szCs w:val="23"/>
        </w:rPr>
        <w:t xml:space="preserve">TIEDOTE HUOLTAJILLE LÄÄKEHOIDON TOTEUTUKSESTA VARHAISKASVATUKSESSA </w:t>
      </w:r>
    </w:p>
    <w:p w:rsidR="00766322" w:rsidRDefault="00766322" w:rsidP="00766322">
      <w:pPr>
        <w:pStyle w:val="Default"/>
        <w:rPr>
          <w:rFonts w:ascii="Calibri" w:hAnsi="Calibri" w:cs="Calibri"/>
          <w:color w:val="auto"/>
          <w:sz w:val="23"/>
          <w:szCs w:val="23"/>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Lapsen lääkehoidosta vastaa lasta hoitava lääkäri ja lapsen lääkehoito toteutetaan ensisijaisesti kotona. </w:t>
      </w: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Kunnan varhaiskasvatuksella on voimassa oleva ohjeistus lääkehoitoon varhaiskasvatuksen aikana.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Huoltajien on keskusteltava varhaiskasvatusyksikön työntekijän kanssa lapsen lääkityksestä: </w:t>
      </w:r>
    </w:p>
    <w:p w:rsidR="00766322" w:rsidRDefault="00766322" w:rsidP="00766322">
      <w:pPr>
        <w:pStyle w:val="Default"/>
        <w:numPr>
          <w:ilvl w:val="0"/>
          <w:numId w:val="1"/>
        </w:numPr>
        <w:spacing w:after="164"/>
        <w:rPr>
          <w:rFonts w:ascii="Calibri" w:hAnsi="Calibri" w:cs="Calibri"/>
          <w:color w:val="auto"/>
          <w:sz w:val="22"/>
          <w:szCs w:val="22"/>
        </w:rPr>
      </w:pPr>
      <w:r>
        <w:rPr>
          <w:rFonts w:ascii="Calibri" w:hAnsi="Calibri" w:cs="Calibri"/>
          <w:color w:val="auto"/>
          <w:sz w:val="22"/>
          <w:szCs w:val="22"/>
        </w:rPr>
        <w:t xml:space="preserve">Heti lapsen tullessa varhaiskasvatuksen asiakkaaksi (jatkuva sekä kohtausluontoinen lääkitys) </w:t>
      </w:r>
    </w:p>
    <w:p w:rsidR="00766322" w:rsidRDefault="00766322" w:rsidP="00766322">
      <w:pPr>
        <w:pStyle w:val="Default"/>
        <w:numPr>
          <w:ilvl w:val="0"/>
          <w:numId w:val="1"/>
        </w:numPr>
        <w:rPr>
          <w:rFonts w:ascii="Calibri" w:hAnsi="Calibri" w:cs="Calibri"/>
          <w:color w:val="auto"/>
          <w:sz w:val="22"/>
          <w:szCs w:val="22"/>
        </w:rPr>
      </w:pPr>
      <w:r>
        <w:rPr>
          <w:rFonts w:ascii="Calibri" w:hAnsi="Calibri" w:cs="Calibri"/>
          <w:color w:val="auto"/>
          <w:sz w:val="22"/>
          <w:szCs w:val="22"/>
        </w:rPr>
        <w:t xml:space="preserve">Lapsen tullessa varhaiskasvatukseen (kuuriluonteiset lääkkeet)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Varhaiskasvatuksessa annostellaan ja annetaan lääkärin määräämät lääkkeet, jotka on määrätty </w:t>
      </w:r>
      <w:proofErr w:type="spellStart"/>
      <w:r>
        <w:rPr>
          <w:rFonts w:ascii="Calibri" w:hAnsi="Calibri" w:cs="Calibri"/>
          <w:color w:val="auto"/>
          <w:sz w:val="22"/>
          <w:szCs w:val="22"/>
        </w:rPr>
        <w:t>jatku-vaan/tilapäiseen</w:t>
      </w:r>
      <w:proofErr w:type="spellEnd"/>
      <w:r>
        <w:rPr>
          <w:rFonts w:ascii="Calibri" w:hAnsi="Calibri" w:cs="Calibri"/>
          <w:color w:val="auto"/>
          <w:sz w:val="22"/>
          <w:szCs w:val="22"/>
        </w:rPr>
        <w:t xml:space="preserve"> käyttöön annosteltavaksi myös päivällä.</w:t>
      </w:r>
    </w:p>
    <w:p w:rsidR="00766322" w:rsidRDefault="00766322" w:rsidP="00766322">
      <w:pPr>
        <w:pStyle w:val="Default"/>
        <w:rPr>
          <w:rFonts w:ascii="Calibri" w:hAnsi="Calibri" w:cs="Calibri"/>
          <w:color w:val="auto"/>
          <w:sz w:val="22"/>
          <w:szCs w:val="22"/>
        </w:rPr>
      </w:pPr>
    </w:p>
    <w:p w:rsidR="00766322" w:rsidRDefault="00766322" w:rsidP="00766322">
      <w:pPr>
        <w:pStyle w:val="Default"/>
        <w:numPr>
          <w:ilvl w:val="0"/>
          <w:numId w:val="2"/>
        </w:numPr>
        <w:spacing w:after="164"/>
        <w:rPr>
          <w:rFonts w:ascii="Calibri" w:hAnsi="Calibri" w:cs="Calibri"/>
          <w:color w:val="auto"/>
          <w:sz w:val="22"/>
          <w:szCs w:val="22"/>
        </w:rPr>
      </w:pPr>
      <w:r>
        <w:rPr>
          <w:rFonts w:ascii="Calibri" w:hAnsi="Calibri" w:cs="Calibri"/>
          <w:color w:val="auto"/>
          <w:sz w:val="22"/>
          <w:szCs w:val="22"/>
        </w:rPr>
        <w:t xml:space="preserve">Jos lapselle joutuu antamaan lääkettä hoitopäivän aikana, </w:t>
      </w:r>
      <w:r>
        <w:rPr>
          <w:rFonts w:ascii="Calibri" w:hAnsi="Calibri" w:cs="Calibri"/>
          <w:b/>
          <w:bCs/>
          <w:color w:val="auto"/>
          <w:sz w:val="22"/>
          <w:szCs w:val="22"/>
        </w:rPr>
        <w:t xml:space="preserve">huoltajat toimittavat lääkkeet hoitoon annosteluohjeineen alkuperäispakkauksessa. </w:t>
      </w:r>
      <w:r>
        <w:rPr>
          <w:rFonts w:ascii="Calibri" w:hAnsi="Calibri" w:cs="Calibri"/>
          <w:color w:val="auto"/>
          <w:sz w:val="22"/>
          <w:szCs w:val="22"/>
        </w:rPr>
        <w:t xml:space="preserve">Annosteluohje voi olla potilasohje tai alku-peräispakkauksen ohjetarra. </w:t>
      </w:r>
    </w:p>
    <w:p w:rsidR="00766322" w:rsidRDefault="00766322" w:rsidP="00766322">
      <w:pPr>
        <w:pStyle w:val="Default"/>
        <w:numPr>
          <w:ilvl w:val="0"/>
          <w:numId w:val="2"/>
        </w:numPr>
        <w:spacing w:after="164"/>
        <w:rPr>
          <w:rFonts w:ascii="Calibri" w:hAnsi="Calibri" w:cs="Calibri"/>
          <w:color w:val="auto"/>
          <w:sz w:val="22"/>
          <w:szCs w:val="22"/>
        </w:rPr>
      </w:pPr>
      <w:r>
        <w:rPr>
          <w:rFonts w:ascii="Calibri" w:hAnsi="Calibri" w:cs="Calibri"/>
          <w:color w:val="auto"/>
          <w:sz w:val="22"/>
          <w:szCs w:val="22"/>
        </w:rPr>
        <w:t xml:space="preserve">Varhaiskasvatuksen henkilökunta annostelee lääkkeen </w:t>
      </w:r>
    </w:p>
    <w:p w:rsidR="00766322" w:rsidRDefault="00766322" w:rsidP="00766322">
      <w:pPr>
        <w:pStyle w:val="Default"/>
        <w:numPr>
          <w:ilvl w:val="0"/>
          <w:numId w:val="2"/>
        </w:numPr>
        <w:rPr>
          <w:rFonts w:ascii="Calibri" w:hAnsi="Calibri" w:cs="Calibri"/>
          <w:color w:val="auto"/>
          <w:sz w:val="22"/>
          <w:szCs w:val="22"/>
        </w:rPr>
      </w:pPr>
      <w:r>
        <w:rPr>
          <w:rFonts w:ascii="Calibri" w:hAnsi="Calibri" w:cs="Calibri"/>
          <w:color w:val="auto"/>
          <w:sz w:val="22"/>
          <w:szCs w:val="22"/>
        </w:rPr>
        <w:t xml:space="preserve">Lääkkeissä tulee AINA olla lapsen nimi, lääkkeen nimi ja annosteluohje päivämäärineen. Silmä- ja korvatippapullot joudutaan kuljettamaan edestakaisin kodin ja päivähoitopaikan välillä.                     Silmätipat on suositeltavaa pyytää kerta-annospipetteinä.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Suomessa apteekista käsikauppatavarana saatavia tuotteita voi tuoda lapsen hoitoa varten, mikäli tuotteen </w:t>
      </w:r>
      <w:r>
        <w:rPr>
          <w:rFonts w:ascii="Calibri" w:hAnsi="Calibri" w:cs="Calibri"/>
          <w:b/>
          <w:bCs/>
          <w:color w:val="auto"/>
          <w:sz w:val="22"/>
          <w:szCs w:val="22"/>
        </w:rPr>
        <w:t xml:space="preserve">sopivuus on ensin todettu kotona sopivaksi </w:t>
      </w:r>
      <w:r>
        <w:rPr>
          <w:rFonts w:ascii="Calibri" w:hAnsi="Calibri" w:cs="Calibri"/>
          <w:color w:val="auto"/>
          <w:sz w:val="22"/>
          <w:szCs w:val="22"/>
        </w:rPr>
        <w:t xml:space="preserve">käyttöön: </w:t>
      </w:r>
    </w:p>
    <w:p w:rsidR="00766322" w:rsidRDefault="00766322" w:rsidP="00766322">
      <w:pPr>
        <w:pStyle w:val="Default"/>
        <w:rPr>
          <w:rFonts w:ascii="Calibri" w:hAnsi="Calibri" w:cs="Calibri"/>
          <w:color w:val="auto"/>
          <w:sz w:val="22"/>
          <w:szCs w:val="22"/>
        </w:rPr>
      </w:pPr>
    </w:p>
    <w:p w:rsidR="00766322" w:rsidRDefault="00766322" w:rsidP="00766322">
      <w:pPr>
        <w:pStyle w:val="Default"/>
        <w:numPr>
          <w:ilvl w:val="0"/>
          <w:numId w:val="3"/>
        </w:numPr>
        <w:spacing w:after="164"/>
        <w:rPr>
          <w:rFonts w:ascii="Calibri" w:hAnsi="Calibri" w:cs="Calibri"/>
          <w:color w:val="auto"/>
          <w:sz w:val="22"/>
          <w:szCs w:val="22"/>
        </w:rPr>
      </w:pPr>
      <w:r>
        <w:rPr>
          <w:rFonts w:ascii="Calibri" w:hAnsi="Calibri" w:cs="Calibri"/>
          <w:color w:val="auto"/>
          <w:sz w:val="22"/>
          <w:szCs w:val="22"/>
        </w:rPr>
        <w:t xml:space="preserve">Perusvoiteet. Mikäli kuureja on toistuvasti, suositellaan lääkärin määräämää reseptiä. </w:t>
      </w:r>
    </w:p>
    <w:p w:rsidR="00766322" w:rsidRPr="00C5524C" w:rsidRDefault="00766322" w:rsidP="00766322">
      <w:pPr>
        <w:pStyle w:val="Default"/>
        <w:numPr>
          <w:ilvl w:val="0"/>
          <w:numId w:val="3"/>
        </w:numPr>
        <w:rPr>
          <w:rFonts w:ascii="Calibri" w:hAnsi="Calibri" w:cs="Calibri"/>
          <w:color w:val="auto"/>
          <w:sz w:val="22"/>
          <w:szCs w:val="22"/>
        </w:rPr>
      </w:pPr>
      <w:proofErr w:type="gramStart"/>
      <w:r w:rsidRPr="00C5524C">
        <w:rPr>
          <w:rFonts w:ascii="Calibri" w:hAnsi="Calibri" w:cs="Calibri"/>
          <w:color w:val="auto"/>
          <w:sz w:val="22"/>
          <w:szCs w:val="22"/>
        </w:rPr>
        <w:t>Hajusteeton, lapsille tarkoitettu aurinkovoide.</w:t>
      </w:r>
      <w:proofErr w:type="gramEnd"/>
      <w:r w:rsidRPr="00C5524C">
        <w:rPr>
          <w:rFonts w:ascii="Calibri" w:hAnsi="Calibri" w:cs="Calibri"/>
          <w:color w:val="auto"/>
          <w:sz w:val="22"/>
          <w:szCs w:val="22"/>
        </w:rPr>
        <w:t xml:space="preserve"> </w:t>
      </w:r>
    </w:p>
    <w:p w:rsidR="00766322" w:rsidRPr="00C5524C" w:rsidRDefault="00766322" w:rsidP="00766322">
      <w:pPr>
        <w:pStyle w:val="Default"/>
        <w:ind w:left="761"/>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Varhaiskasvatuksessa lääkkeet säilytetään erillisessä lukollisessa lääkekaapissa. </w:t>
      </w: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Jääkaapissa säilytettävät lasten lääkkeet ovat kannellisessa rasiassa erillään ruokatarvikkeista ja poissa lasten ulottuvilta. </w:t>
      </w:r>
    </w:p>
    <w:p w:rsidR="00766322" w:rsidRDefault="00766322" w:rsidP="00766322">
      <w:pPr>
        <w:pStyle w:val="Default"/>
        <w:rPr>
          <w:rFonts w:cstheme="minorBidi"/>
          <w:color w:val="auto"/>
        </w:rPr>
      </w:pPr>
    </w:p>
    <w:p w:rsidR="00766322" w:rsidRDefault="00766322" w:rsidP="00766322">
      <w:pPr>
        <w:pStyle w:val="Default"/>
        <w:pageBreakBefore/>
        <w:rPr>
          <w:rFonts w:ascii="Calibri" w:hAnsi="Calibri" w:cs="Calibri"/>
          <w:color w:val="auto"/>
          <w:sz w:val="22"/>
          <w:szCs w:val="22"/>
        </w:rPr>
      </w:pPr>
      <w:r>
        <w:rPr>
          <w:rFonts w:ascii="Calibri" w:hAnsi="Calibri" w:cs="Calibri"/>
          <w:b/>
          <w:bCs/>
          <w:color w:val="auto"/>
          <w:sz w:val="22"/>
          <w:szCs w:val="22"/>
        </w:rPr>
        <w:lastRenderedPageBreak/>
        <w:t xml:space="preserve">HUOLTAJIEN VASTUU VARHAISKASVATUKSESSA ANNETTAVAAN LÄÄKEHOITOON </w:t>
      </w:r>
    </w:p>
    <w:p w:rsidR="00766322" w:rsidRDefault="00766322" w:rsidP="00766322">
      <w:pPr>
        <w:pStyle w:val="Default"/>
        <w:spacing w:after="30"/>
        <w:rPr>
          <w:rFonts w:ascii="Calibri" w:hAnsi="Calibri" w:cs="Calibri"/>
          <w:color w:val="auto"/>
          <w:sz w:val="22"/>
          <w:szCs w:val="22"/>
        </w:rPr>
      </w:pPr>
    </w:p>
    <w:p w:rsidR="00766322" w:rsidRDefault="00766322" w:rsidP="00766322">
      <w:pPr>
        <w:pStyle w:val="Default"/>
        <w:spacing w:after="30"/>
        <w:rPr>
          <w:rFonts w:ascii="Calibri" w:hAnsi="Calibri" w:cs="Calibri"/>
          <w:color w:val="auto"/>
          <w:sz w:val="22"/>
          <w:szCs w:val="22"/>
        </w:rPr>
      </w:pPr>
      <w:r>
        <w:rPr>
          <w:rFonts w:ascii="Calibri" w:hAnsi="Calibri" w:cs="Calibri"/>
          <w:color w:val="auto"/>
          <w:sz w:val="22"/>
          <w:szCs w:val="22"/>
        </w:rPr>
        <w:t xml:space="preserve">1) Huoltajat ovat tietoisia siitä, kuka/ketkä toteuttavat varhaiskasvatuksessa oman lapsen lääkehoitoa ja vastaavat ryhmän henkilökunnan riittävästä perehdyttämisestä lapsen lääkkeenantoon. </w:t>
      </w:r>
    </w:p>
    <w:p w:rsidR="00766322" w:rsidRDefault="00766322" w:rsidP="00766322">
      <w:pPr>
        <w:pStyle w:val="Default"/>
        <w:numPr>
          <w:ilvl w:val="0"/>
          <w:numId w:val="4"/>
        </w:numPr>
        <w:spacing w:after="30"/>
        <w:rPr>
          <w:rFonts w:ascii="Calibri" w:hAnsi="Calibri" w:cs="Calibri"/>
          <w:color w:val="auto"/>
          <w:sz w:val="22"/>
          <w:szCs w:val="22"/>
        </w:rPr>
      </w:pPr>
      <w:r>
        <w:rPr>
          <w:rFonts w:ascii="Calibri" w:hAnsi="Calibri" w:cs="Calibri"/>
          <w:color w:val="auto"/>
          <w:sz w:val="22"/>
          <w:szCs w:val="22"/>
        </w:rPr>
        <w:t xml:space="preserve">Huoltajat vastaavat siitä, että henkilökunnalla on saatavilla kaikki tarvittava lapsen lääkehoitoon ja hoitotoimenpiteisiin, lääkkeisiin ja mahdollisiin tarvikkeisiin liittyvä tieto </w:t>
      </w:r>
    </w:p>
    <w:p w:rsidR="00766322" w:rsidRDefault="00766322" w:rsidP="00766322">
      <w:pPr>
        <w:pStyle w:val="Default"/>
        <w:numPr>
          <w:ilvl w:val="0"/>
          <w:numId w:val="4"/>
        </w:numPr>
        <w:rPr>
          <w:rFonts w:ascii="Calibri" w:hAnsi="Calibri" w:cs="Calibri"/>
          <w:color w:val="auto"/>
          <w:sz w:val="22"/>
          <w:szCs w:val="22"/>
        </w:rPr>
      </w:pPr>
      <w:r>
        <w:rPr>
          <w:rFonts w:ascii="Calibri" w:hAnsi="Calibri" w:cs="Calibri"/>
          <w:color w:val="auto"/>
          <w:sz w:val="22"/>
          <w:szCs w:val="22"/>
        </w:rPr>
        <w:t xml:space="preserve">Huolehtivat siitä, että lapselle annettavat lääkkeet ovat lääkärin määräämiä reseptilääkkeitä ja muut hoitotuotteet ovat suomalaisesta apteekista saatavia käsikauppatuotteita.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2) Huoltajat huolehtivat hoitoon mukaan asianmukaisen säilytyspussin, jossa lääke ei jäädy/lämpene säiden mukaan, mikäli lääkettä kuuluu kuljettaa lapsen mukana hoitopäivän aikana, esim. retkillä. </w:t>
      </w:r>
    </w:p>
    <w:p w:rsidR="00766322" w:rsidRDefault="00766322" w:rsidP="00766322">
      <w:pPr>
        <w:pStyle w:val="Default"/>
        <w:rPr>
          <w:rFonts w:ascii="Calibri" w:hAnsi="Calibri" w:cs="Calibri"/>
          <w:color w:val="auto"/>
          <w:sz w:val="22"/>
          <w:szCs w:val="22"/>
        </w:rPr>
      </w:pPr>
    </w:p>
    <w:p w:rsidR="00766322" w:rsidRDefault="00766322" w:rsidP="00766322">
      <w:pPr>
        <w:pStyle w:val="Default"/>
        <w:spacing w:after="27"/>
        <w:rPr>
          <w:rFonts w:ascii="Calibri" w:hAnsi="Calibri" w:cs="Calibri"/>
          <w:color w:val="auto"/>
          <w:sz w:val="22"/>
          <w:szCs w:val="22"/>
        </w:rPr>
      </w:pPr>
      <w:r>
        <w:rPr>
          <w:rFonts w:ascii="Calibri" w:hAnsi="Calibri" w:cs="Calibri"/>
          <w:color w:val="auto"/>
          <w:sz w:val="22"/>
          <w:szCs w:val="22"/>
        </w:rPr>
        <w:t xml:space="preserve">3) Huoltajat kutsuvat tarvittaessa alan asiantuntijan perehdyttämään henkilökuntaa. </w:t>
      </w:r>
    </w:p>
    <w:p w:rsidR="00766322" w:rsidRDefault="00766322" w:rsidP="00766322">
      <w:pPr>
        <w:pStyle w:val="Default"/>
        <w:numPr>
          <w:ilvl w:val="0"/>
          <w:numId w:val="5"/>
        </w:numPr>
        <w:rPr>
          <w:rFonts w:ascii="Calibri" w:hAnsi="Calibri" w:cs="Calibri"/>
          <w:color w:val="auto"/>
          <w:sz w:val="22"/>
          <w:szCs w:val="22"/>
        </w:rPr>
      </w:pPr>
      <w:r>
        <w:rPr>
          <w:rFonts w:ascii="Calibri" w:hAnsi="Calibri" w:cs="Calibri"/>
          <w:color w:val="auto"/>
          <w:sz w:val="22"/>
          <w:szCs w:val="22"/>
        </w:rPr>
        <w:t xml:space="preserve">Huoltajat ja tarvittaessa terveydenhuollon ammattilaiset (esim. diabeteshoitaja) antavat riittävän perehdytyksen lapsen lääkehoitoa toteuttavalle työntekijälle/lapsiryhmän henkilökunnalle ja tarvittaessa perehdyttävät koko yksikön henkilökuntaa lapsen akuuttilääkkeiden antamiseen. </w:t>
      </w:r>
    </w:p>
    <w:p w:rsidR="00766322" w:rsidRDefault="00766322" w:rsidP="00766322">
      <w:pPr>
        <w:pStyle w:val="Default"/>
        <w:rPr>
          <w:rFonts w:ascii="Calibri" w:hAnsi="Calibri" w:cs="Calibri"/>
          <w:color w:val="auto"/>
          <w:sz w:val="22"/>
          <w:szCs w:val="22"/>
        </w:rPr>
      </w:pPr>
    </w:p>
    <w:p w:rsidR="00766322" w:rsidRDefault="00766322" w:rsidP="00766322">
      <w:pPr>
        <w:pStyle w:val="Default"/>
        <w:spacing w:after="30"/>
        <w:rPr>
          <w:rFonts w:ascii="Calibri" w:hAnsi="Calibri" w:cs="Calibri"/>
          <w:color w:val="auto"/>
          <w:sz w:val="22"/>
          <w:szCs w:val="22"/>
        </w:rPr>
      </w:pPr>
      <w:r>
        <w:rPr>
          <w:rFonts w:ascii="Calibri" w:hAnsi="Calibri" w:cs="Calibri"/>
          <w:color w:val="auto"/>
          <w:sz w:val="22"/>
          <w:szCs w:val="22"/>
        </w:rPr>
        <w:t xml:space="preserve">4) Huoltajat laativat yhdessä varhaiskasvatuksen työntekijän/henkilökunnan kanssa Lapsen yksilöllisen lääkehoitosuunnitelman: </w:t>
      </w:r>
    </w:p>
    <w:p w:rsidR="00766322" w:rsidRDefault="00766322" w:rsidP="00766322">
      <w:pPr>
        <w:pStyle w:val="Default"/>
        <w:numPr>
          <w:ilvl w:val="0"/>
          <w:numId w:val="5"/>
        </w:numPr>
        <w:spacing w:after="30"/>
        <w:rPr>
          <w:rFonts w:ascii="Calibri" w:hAnsi="Calibri" w:cs="Calibri"/>
          <w:color w:val="auto"/>
          <w:sz w:val="22"/>
          <w:szCs w:val="22"/>
        </w:rPr>
      </w:pPr>
      <w:r>
        <w:rPr>
          <w:rFonts w:ascii="Calibri" w:hAnsi="Calibri" w:cs="Calibri"/>
          <w:color w:val="auto"/>
          <w:sz w:val="22"/>
          <w:szCs w:val="22"/>
        </w:rPr>
        <w:t xml:space="preserve">Kun lapsella on sairaus, joka vaatii lääkärin määräämää </w:t>
      </w:r>
      <w:r>
        <w:rPr>
          <w:rFonts w:ascii="Calibri" w:hAnsi="Calibri" w:cs="Calibri"/>
          <w:b/>
          <w:bCs/>
          <w:color w:val="auto"/>
          <w:sz w:val="22"/>
          <w:szCs w:val="22"/>
        </w:rPr>
        <w:t xml:space="preserve">pitkäaikaista, säännöllistä ja jatkuvaa </w:t>
      </w:r>
      <w:r>
        <w:rPr>
          <w:rFonts w:ascii="Calibri" w:hAnsi="Calibri" w:cs="Calibri"/>
          <w:color w:val="auto"/>
          <w:sz w:val="22"/>
          <w:szCs w:val="22"/>
        </w:rPr>
        <w:t xml:space="preserve">lääkehoitoa tai muuta erillistä huomiota tai </w:t>
      </w:r>
    </w:p>
    <w:p w:rsidR="00766322" w:rsidRDefault="00766322" w:rsidP="00766322">
      <w:pPr>
        <w:pStyle w:val="Default"/>
        <w:numPr>
          <w:ilvl w:val="0"/>
          <w:numId w:val="5"/>
        </w:numPr>
        <w:rPr>
          <w:rFonts w:ascii="Calibri" w:hAnsi="Calibri" w:cs="Calibri"/>
          <w:color w:val="auto"/>
          <w:sz w:val="22"/>
          <w:szCs w:val="22"/>
        </w:rPr>
      </w:pPr>
      <w:r>
        <w:rPr>
          <w:rFonts w:ascii="Calibri" w:hAnsi="Calibri" w:cs="Calibri"/>
          <w:color w:val="auto"/>
          <w:sz w:val="22"/>
          <w:szCs w:val="22"/>
        </w:rPr>
        <w:t xml:space="preserve">Kun lapsi saa </w:t>
      </w:r>
      <w:r>
        <w:rPr>
          <w:rFonts w:ascii="Calibri" w:hAnsi="Calibri" w:cs="Calibri"/>
          <w:b/>
          <w:bCs/>
          <w:color w:val="auto"/>
          <w:sz w:val="22"/>
          <w:szCs w:val="22"/>
        </w:rPr>
        <w:t>kuuriluontoisen</w:t>
      </w:r>
      <w:r>
        <w:rPr>
          <w:rFonts w:ascii="Calibri" w:hAnsi="Calibri" w:cs="Calibri"/>
          <w:color w:val="auto"/>
          <w:sz w:val="22"/>
          <w:szCs w:val="22"/>
        </w:rPr>
        <w:t xml:space="preserve">, lääkärin määräämän lääkehoidon (esim. antibioottikuuri, silmätipat, silmävoiteet), eikä lääkehoitoa antavalla työntekijällä ole lääkehoidon kelpoisuutta (esim. perhepäivähoitaja, päivähoitaja ja lastentarhanopettaja). Huoltajat voivat antaa luvan halutessaan em. hoitajalle lapsensa kuuriluontoisen lääkkeen antamiseen täyttämällä ja allekirjoittamalla Lapsen yksilöllisen lääkehoitosuunnitelman. </w:t>
      </w:r>
    </w:p>
    <w:p w:rsidR="00766322" w:rsidRDefault="00766322" w:rsidP="00766322">
      <w:pPr>
        <w:pStyle w:val="Default"/>
        <w:rPr>
          <w:rFonts w:ascii="Calibri" w:hAnsi="Calibri" w:cs="Calibri"/>
          <w:color w:val="auto"/>
          <w:sz w:val="22"/>
          <w:szCs w:val="22"/>
        </w:rPr>
      </w:pPr>
    </w:p>
    <w:p w:rsidR="00766322" w:rsidRDefault="00766322" w:rsidP="00766322">
      <w:pPr>
        <w:pStyle w:val="Default"/>
        <w:spacing w:after="30"/>
        <w:rPr>
          <w:rFonts w:ascii="Calibri" w:hAnsi="Calibri" w:cs="Calibri"/>
          <w:color w:val="auto"/>
          <w:sz w:val="22"/>
          <w:szCs w:val="22"/>
        </w:rPr>
      </w:pPr>
      <w:r>
        <w:rPr>
          <w:rFonts w:ascii="Calibri" w:hAnsi="Calibri" w:cs="Calibri"/>
          <w:color w:val="auto"/>
          <w:sz w:val="22"/>
          <w:szCs w:val="22"/>
        </w:rPr>
        <w:t xml:space="preserve">5) Huoltajat huolehtivat tarvittaessa henkilökunnalle uuden potilasohjeen tai ohjetarran lääkärin määräämästä lapsen lääkinnästä tapahtuneesta muutoksesta. </w:t>
      </w:r>
    </w:p>
    <w:p w:rsidR="00766322" w:rsidRDefault="00766322" w:rsidP="00766322">
      <w:pPr>
        <w:pStyle w:val="Default"/>
        <w:numPr>
          <w:ilvl w:val="0"/>
          <w:numId w:val="6"/>
        </w:numPr>
        <w:rPr>
          <w:rFonts w:ascii="Calibri" w:hAnsi="Calibri" w:cs="Calibri"/>
          <w:color w:val="auto"/>
          <w:sz w:val="22"/>
          <w:szCs w:val="22"/>
        </w:rPr>
      </w:pPr>
      <w:r>
        <w:rPr>
          <w:rFonts w:ascii="Calibri" w:hAnsi="Calibri" w:cs="Calibri"/>
          <w:color w:val="auto"/>
          <w:sz w:val="22"/>
          <w:szCs w:val="22"/>
        </w:rPr>
        <w:t xml:space="preserve">Jos lapsen lääkintään tai hoitotoimiin tulee muutosta, huoltajat huolehtivat uuden tiedon lasta hoitavalle henkilökunnalle. Huoltajat ja ryhmän muu henkilökunta perehdyttävät uuden työntekijän lapsen hoitotoimenpiteisiin.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6) Huoltajat vastaavat lapsen siirtyessä toiseen varhaiskasvatusyksikköön uuden henkilökunnan perehdyttämisen ja tarvittaessa pyytävät alan ammattilaisen perehdyttämään lääkehoidon toteuttajat. </w:t>
      </w:r>
    </w:p>
    <w:p w:rsidR="00766322" w:rsidRDefault="00766322" w:rsidP="00766322">
      <w:pPr>
        <w:pStyle w:val="Default"/>
        <w:rPr>
          <w:rFonts w:ascii="Calibri" w:hAnsi="Calibri" w:cs="Calibri"/>
          <w:color w:val="auto"/>
          <w:sz w:val="22"/>
          <w:szCs w:val="22"/>
        </w:rPr>
      </w:pPr>
    </w:p>
    <w:p w:rsidR="00766322" w:rsidRDefault="00766322" w:rsidP="00766322">
      <w:pPr>
        <w:pStyle w:val="Default"/>
        <w:rPr>
          <w:rFonts w:ascii="Calibri" w:hAnsi="Calibri" w:cs="Calibri"/>
          <w:color w:val="auto"/>
          <w:sz w:val="22"/>
          <w:szCs w:val="22"/>
        </w:rPr>
      </w:pPr>
      <w:r>
        <w:rPr>
          <w:rFonts w:ascii="Calibri" w:hAnsi="Calibri" w:cs="Calibri"/>
          <w:color w:val="auto"/>
          <w:sz w:val="22"/>
          <w:szCs w:val="22"/>
        </w:rPr>
        <w:t xml:space="preserve">7) Huoltajat vastaavat lapsen lääkkeen hävittämisestä sekä päivittämisestä. </w:t>
      </w:r>
    </w:p>
    <w:p w:rsidR="00766322" w:rsidRDefault="00766322" w:rsidP="00766322"/>
    <w:p w:rsidR="00766322" w:rsidRDefault="00766322" w:rsidP="00766322"/>
    <w:p w:rsidR="00BE3AD6" w:rsidRDefault="00BE3AD6"/>
    <w:sectPr w:rsidR="00BE3AD6" w:rsidSect="00BE3AD6">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FE"/>
    <w:multiLevelType w:val="hybridMultilevel"/>
    <w:tmpl w:val="573283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37F101D"/>
    <w:multiLevelType w:val="hybridMultilevel"/>
    <w:tmpl w:val="97C84B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1874043"/>
    <w:multiLevelType w:val="hybridMultilevel"/>
    <w:tmpl w:val="F8DEEA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D2D243A"/>
    <w:multiLevelType w:val="hybridMultilevel"/>
    <w:tmpl w:val="F3C0CBDA"/>
    <w:lvl w:ilvl="0" w:tplc="040B0001">
      <w:start w:val="1"/>
      <w:numFmt w:val="bullet"/>
      <w:lvlText w:val=""/>
      <w:lvlJc w:val="left"/>
      <w:pPr>
        <w:ind w:left="761" w:hanging="360"/>
      </w:pPr>
      <w:rPr>
        <w:rFonts w:ascii="Symbol" w:hAnsi="Symbol" w:hint="default"/>
      </w:rPr>
    </w:lvl>
    <w:lvl w:ilvl="1" w:tplc="040B0003" w:tentative="1">
      <w:start w:val="1"/>
      <w:numFmt w:val="bullet"/>
      <w:lvlText w:val="o"/>
      <w:lvlJc w:val="left"/>
      <w:pPr>
        <w:ind w:left="1481" w:hanging="360"/>
      </w:pPr>
      <w:rPr>
        <w:rFonts w:ascii="Courier New" w:hAnsi="Courier New" w:cs="Courier New" w:hint="default"/>
      </w:rPr>
    </w:lvl>
    <w:lvl w:ilvl="2" w:tplc="040B0005" w:tentative="1">
      <w:start w:val="1"/>
      <w:numFmt w:val="bullet"/>
      <w:lvlText w:val=""/>
      <w:lvlJc w:val="left"/>
      <w:pPr>
        <w:ind w:left="2201" w:hanging="360"/>
      </w:pPr>
      <w:rPr>
        <w:rFonts w:ascii="Wingdings" w:hAnsi="Wingdings" w:hint="default"/>
      </w:rPr>
    </w:lvl>
    <w:lvl w:ilvl="3" w:tplc="040B0001" w:tentative="1">
      <w:start w:val="1"/>
      <w:numFmt w:val="bullet"/>
      <w:lvlText w:val=""/>
      <w:lvlJc w:val="left"/>
      <w:pPr>
        <w:ind w:left="2921" w:hanging="360"/>
      </w:pPr>
      <w:rPr>
        <w:rFonts w:ascii="Symbol" w:hAnsi="Symbol" w:hint="default"/>
      </w:rPr>
    </w:lvl>
    <w:lvl w:ilvl="4" w:tplc="040B0003" w:tentative="1">
      <w:start w:val="1"/>
      <w:numFmt w:val="bullet"/>
      <w:lvlText w:val="o"/>
      <w:lvlJc w:val="left"/>
      <w:pPr>
        <w:ind w:left="3641" w:hanging="360"/>
      </w:pPr>
      <w:rPr>
        <w:rFonts w:ascii="Courier New" w:hAnsi="Courier New" w:cs="Courier New" w:hint="default"/>
      </w:rPr>
    </w:lvl>
    <w:lvl w:ilvl="5" w:tplc="040B0005" w:tentative="1">
      <w:start w:val="1"/>
      <w:numFmt w:val="bullet"/>
      <w:lvlText w:val=""/>
      <w:lvlJc w:val="left"/>
      <w:pPr>
        <w:ind w:left="4361" w:hanging="360"/>
      </w:pPr>
      <w:rPr>
        <w:rFonts w:ascii="Wingdings" w:hAnsi="Wingdings" w:hint="default"/>
      </w:rPr>
    </w:lvl>
    <w:lvl w:ilvl="6" w:tplc="040B0001" w:tentative="1">
      <w:start w:val="1"/>
      <w:numFmt w:val="bullet"/>
      <w:lvlText w:val=""/>
      <w:lvlJc w:val="left"/>
      <w:pPr>
        <w:ind w:left="5081" w:hanging="360"/>
      </w:pPr>
      <w:rPr>
        <w:rFonts w:ascii="Symbol" w:hAnsi="Symbol" w:hint="default"/>
      </w:rPr>
    </w:lvl>
    <w:lvl w:ilvl="7" w:tplc="040B0003" w:tentative="1">
      <w:start w:val="1"/>
      <w:numFmt w:val="bullet"/>
      <w:lvlText w:val="o"/>
      <w:lvlJc w:val="left"/>
      <w:pPr>
        <w:ind w:left="5801" w:hanging="360"/>
      </w:pPr>
      <w:rPr>
        <w:rFonts w:ascii="Courier New" w:hAnsi="Courier New" w:cs="Courier New" w:hint="default"/>
      </w:rPr>
    </w:lvl>
    <w:lvl w:ilvl="8" w:tplc="040B0005" w:tentative="1">
      <w:start w:val="1"/>
      <w:numFmt w:val="bullet"/>
      <w:lvlText w:val=""/>
      <w:lvlJc w:val="left"/>
      <w:pPr>
        <w:ind w:left="6521" w:hanging="360"/>
      </w:pPr>
      <w:rPr>
        <w:rFonts w:ascii="Wingdings" w:hAnsi="Wingdings" w:hint="default"/>
      </w:rPr>
    </w:lvl>
  </w:abstractNum>
  <w:abstractNum w:abstractNumId="4">
    <w:nsid w:val="52420299"/>
    <w:multiLevelType w:val="hybridMultilevel"/>
    <w:tmpl w:val="E8803B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6BAA21D7"/>
    <w:multiLevelType w:val="hybridMultilevel"/>
    <w:tmpl w:val="5010DA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766322"/>
    <w:rsid w:val="00766322"/>
    <w:rsid w:val="00BE3AD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6632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76632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3832</Characters>
  <Application>Microsoft Office Word</Application>
  <DocSecurity>0</DocSecurity>
  <Lines>31</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Vuoropäiväkoti</dc:creator>
  <cp:lastModifiedBy>Vuoropäiväkoti</cp:lastModifiedBy>
  <cp:revision>1</cp:revision>
  <dcterms:created xsi:type="dcterms:W3CDTF">2019-10-08T08:55:00Z</dcterms:created>
  <dcterms:modified xsi:type="dcterms:W3CDTF">2019-10-08T08:58:00Z</dcterms:modified>
</cp:coreProperties>
</file>